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2009/62 vom 9. Juni 2010</w:t>
      </w:r>
    </w:p>
    <w:p>
      <w:r>
        <w:t>Sg Versicherungsgericht, 2010-06-09, DE</w:t>
      </w:r>
    </w:p>
    <w:p>
      <w:r>
        <w:rPr>
          <w:b/>
        </w:rPr>
        <w:t xml:space="preserve">Quelle: </w:t>
      </w:r>
      <w:r>
        <w:t>https://mcp.opencaselaw.ch/entscheid/sg_publikationen_UV 2009_62</w:t>
      </w:r>
    </w:p>
    <w:p>
      <w:r>
        <w:t>FR: SG_VERSICHERUNGSGERICHT UV 2009/62 du 9 juin 2010</w:t>
      </w:r>
    </w:p>
    <w:p>
      <w:r>
        <w:t>IT: SG_VERSICHERUNGSGERICHT UV 2009/62 del 9 giugno 2010</w:t>
      </w:r>
    </w:p>
    <w:p>
      <w:pPr>
        <w:pStyle w:val="Heading2"/>
      </w:pPr>
      <w:r>
        <w:t>Regeste</w:t>
      </w:r>
    </w:p>
    <w:p>
      <w:r>
        <w:t>Art. 39 UVG, Art. 49 Abs. 2 lit. a UVV: Voraussetzungen für eine Leistungskürzung (Kürzung der Geldleistungen um 50%) wegen Beteiligung an einer Rauferei/Schlägerei erfüllt. Kürzungstatbestand erfüllt, sobald Gefahrenlage gesetzt, die für Beteiligte erkennbar aus dem Ruder laufen und Verletzungen verursachen konnte (Entscheid des Versicherungsgerichts des Kantons St. Gallen vom 9. Juni 2010, UV 2009/62).</w:t>
      </w:r>
    </w:p>
    <w:p>
      <w:pPr>
        <w:pStyle w:val="Heading2"/>
      </w:pPr>
      <w:r>
        <w:t>Erwägungen</w:t>
      </w:r>
    </w:p>
    <w:p>
      <w:r>
        <w:rPr>
          <w:b/>
        </w:rPr>
        <w:t>E. 1</w:t>
      </w:r>
    </w:p>
    <w:p>
      <w:r>
        <w:t>1.1    Art. 39 des Bundesgesetzes über die Unfallversicherung (UVG; SR 832.20) räumt dem Bundesrat die Kompetenz ein, aussergewöhnliche Gefahren und Wagnisse zu bezeichnen, die in der Versicherung der Nichtberufsunfälle zur Verweigerung sämtlicher Leistungen oder zur Kürzung der Geldleistungen führen, wobei die Kürzung oder Verweigerung in Abweichung von Art. 21 Abs. 1-3 des Bundesgesetzes über den Allgemeinen Teil des Sozialversicherungsrechts (ATSG; SR 830.1) geordnet werden kann. Von dieser Kompetenz hat der Bundesrat mit Art. 49 der Verordnung über die Unfallversicherung (UVV; SR 832.202) Gebrauch gemacht. Nach dessen Abs. 2 werden die Geldleistungen um mindestens die Hälfte gekürzt für Nichtberufs­unfälle, die sich bei Beteiligung an Raufereien und Schlägereien ereignen, es sei denn, die versicherte Person sei als Unbeteiligte oder bei Hilfeleistung für eine wehrlose Person durch die Streitenden verletzt worden (lit. a), oder bei Gefahren, denen sich die versicherte Person dadurch aussetzt, dass sie andere stark provoziert (lit. b; vgl. A. Maurer, Schweizerisches Unfallversicherungsrecht, 2. unveränderte Auflage 1989, S. 504ff., U. Kieser, ATSG-Kommentar, 2. Auflage 2009, N 115ff. zu Art. 21 ATSG). 1.2    Als Raufereien und Schlägereien gelten nach Rechtsprechung und Lehre gewaltsame Auseinandersetzungen, bei denen sich die Beteiligten raufen oder bei denen Schläge ausgeteilt werden. Der Tatbestand des Art. 49 Abs. 2 lit. a UVV, der verschuldensunabhängig konzipiert ist (vgl. in BGE 132 V 27 nicht publizierte E. 1.2 des Urteils U 325/05 vom 5. Januar 2006, publiziert in SVR 2006 UV Nr. 13 S. 45), ist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(vgl. RKUV 2005 Nr. U 553 S. 311 [U 360/04], RKUV 1991 Nr. U 120 S. 89 E. 3b mit Hinweisen und A. Rumo-Jungo, Rechtsprechung des Bundesgerichts zum Sozialversicherungsrecht, Bundesgesetz über die Unfallversicherung, 3. Auflage 2003, S. 223). Eine Beteiligung an Raufereien und Schlägereien liegt bereits dann vor, wenn die versicherte Person in eine Rauferei oder Schlägerei verwickelt (und dabei verletzt) wird, weil sie sich in (vorangehende) Diskussionen, Streitereien und Wortgefechte eingelassen hat, welche das Risiko in sich schliessen, dass es zu Tätlichkeiten kommen könnte (RKUV 1991 Nr. U 120 E. 3b S. 89f.; BGE 107 V 235 E. 2a). Der Tatbestand der Beteiligung an Raufereien oder Schlägereien im Sinne von Art. 49 Abs. 2 lit. a UVV ist weiter gefasst als der Straftatbestand der Beteiligung an einem Raufhandel gemäss Art. 133 des Schweizerischen Strafgesetzbuchs (StGB; SR 311.0; RKUV 1991 Nr. U 120 S. 90 E. 3c mit Hinweis; vgl. auch BGE 107 V 235 E. 2a). 1.3    Eine Leistungskürzung nach Art. 49 Abs. 2 lit. a UVV setzt weiter voraus, dass zwischen dem als Beteiligung an einer Rauferei oder Schlägerei zu qualifizierenden Verhalten und dem Unfall ein natürlicher und adäquater Kausalzusammenhang besteht (SVR 1995 UV Nr. 29 S. 86 E. 2d mit Hinweisen). Die Beurteilung der Adäquanz im Besonderen hat retrospektiv zu erfolgen. Es ist zu fragen, ob und inwiefern die objektiv unter Art. 49 Abs. 2 lit. a UVV fallende Handlung als eine wesentliche Ursache des Unfalls erscheint. Die Antwort ist dann bejahend,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Zusammenhang notwendig (RKUV 1995 Nr. U 214 S. 88 E. 6a; A. Rumo-Jungo, Die Leistungskürzung oder -verweigerung gemäss Art. 37-39 UVG, Diss. Freiburg 1993, S. 278ff. [nachfolgend: Rumo-Jungo II]). Gemäss der in BGE 132 V 27 nicht publizierten Erwägung 1.3 des Urteils U 325/05 vom 5. Januar 2006 (publiziert in SVR 2006 UV Nr. 13 S. 45 E. 1.3) kann der Tatbestand der Beteiligung an einer Rauferei oder Schlägerei im Sinn von Art. 49 Abs. 2 lit. a UVV zeitlich nicht als beendet gelten, solange nicht alle daran Beteiligten klar erkennbar mit dem verbal oder handgreiflich ausgefochtenen Streit aufgehört haben und nicht mit einer Fortsetzung bei nächster Gelegenheit gerechnet werden muss. Nach dieser strengen Praxis des Bundesgerichts, am 4. Mai 2010 im Urteil 8C_997/2009 erneut bestätigt, fallen selbst "Fluchthandlungen" in den Gefahrenbereich von Raufereien bzw. Schläge­reien. - Nicht erforderlich ist, dass die Handlung, welche zur Kürzung oder Verweigerung der Leistungen führt, die alleinige Ursache des Unfalls ist. Es genügt, wenn sie eine adäquate Ursache des Unfalls darstellt (Rumo-Jungo II, a.a.O., S. 280; RKUV 1995 Nr. U 214 S. 86 und von A. Maurer im Ergänzungsband zum Schweizerischen Unfallversicherungsrecht, 1989, S. 72f. zusammengefasstes, nicht publiziertes Urteil des Eidgenössischen Versicherungsgerichts [EVG; seit 1. Januar 2007: Sozialrechtliche Abteilungen des Bundesgerichts] vom 24. Dezem­ber 1987). 1.4    Die Verwaltung als verfügende Instanz und - im Beschwerdefall - das Gericht darf eine Tatsache nur dann als bewiesen annehmen, wenn es von ihrem Bestehen überzeugt ist.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Kieser, a.a.O., N 9ff. zu Art. 43 ATSG; BGE 126 V 353 E. 5b S. 360 mit Hinweisen).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193 E. 2 S. 195 mit Hinweisen). Der Untersuchungsgrundsatz schliesst die Beweislast im Sinne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Hinweisen). - Im vorliegenden Fall ist unbestritten, dass der Beschwerdeführer am 23. November 2007 einen Nichtberufs­unfall erlitten hat, der eine Leistungspflicht der Beschwerdegegnerin auslöste. Diese hat jedoch die Leistungen gestützt auf Art. 39 UVG in Verbindung mit Art. 49 Abs. 2 lit. a UVV gekürzt. Die Beweislast für die Erfüllung des Kürzungstatbestands trägt die Beschwerdegegnerin, d.h. bei diesbezüglicher Beweislosigkeit fällt der Entscheid zu ihren Lasten aus (vgl. Kieser, a.a.O., N 39f. zu Art. 43 ATSG).</w:t>
      </w:r>
    </w:p>
    <w:p>
      <w:r>
        <w:rPr>
          <w:b/>
        </w:rPr>
        <w:t>E. 2</w:t>
      </w:r>
    </w:p>
    <w:p>
      <w:r>
        <w:t>2.1    Aus den Befragungs- bzw. Einvernahmeprotokollen der Polizei und des Strafgerichts sowie dem Protokoll der Schlussverhandlung in der Strafsache gegen den Beschwerdeführer und B.___ wegen der Vergehen der (schweren) Körperverletzung vor dem Strafgericht vom 26. November 2008 (UV-act. 9, act. G 16.1) ergibt sich in Bezug auf die am 23. November 2007 im Nachtclub "A.___" anwesenden Personen sowie die dort stattgefundene Auseinandersetzung folgender Geschehensablauf: B.___ hielt sich am 23. November 2007 ab ca. 01.00 Uhr im Nachtclub "A.___" auf, wo er laut eigenen Angaben an der unteren Bartheke sitzend drei bis fünf kleine Bier konsumierte. Um ca. 03.00 Uhr betraten der Beschwerdeführer und sein Kollege E.___ ebenfalls als Gäste die Bar und setzten sich an die etwas erhöht und gegenüber liegende obere Bartheke. Laut Angaben gegenüber der Polizei fühlte sich B.___ kurze Zeit später vom Beschwerdeführer, seinem Kollegen und den ausserdem anwesenden Tänzerinnen provoziert. Als sich der Beschwerdeführer auf die Toilette begab, folgte ihm B.___, um ihn auf sein Verhalten anzusprechen. (Um zur Toilette zu gelangen, verlässt man durch eine Tür die Bar und kommt in ein Foyer, von welchem aus weitere Türen in eine Herren- und eine Damen­toilette führen [act. G 16.1/115, 16.1/117, in 16.1 enthaltener Einrichtunsplan {act. 42 der Akten des Strafgerichts}]). Die beiden Männer trafen sodann in der Herrentoilette aufeinander. Laut Aussage von B.___ forderte er den Beschwerdeführer auf, er solle aufhören ihn zu beleidigen. Er sei erregt gewesen und habe ihm mit den Händen einen leichten Stoss gegen die Brust gegeben. Dann habe auch der Beschwerdeführer begonnen, ihn zu stossen. Er habe seine Angriffe öfters abgewehrt. Es sei also in der Herrentoilette zu einer kleinen Auseinander­setzung gekommen. Man habe sich jedoch nur herumgestossen und verbal gestritten. Der Beschwerdeführer schilderte diese Phase des Abends gegenüber der Polizei hingegen so, dass ihm - als er in der Toilette sein Geschäft verrichtet habe - jemand hinten auf den Rücken geschlagen habe, worauf er gegen den Toiletten-Sichtschutz gefallen und dieser dabei beschä­digt worden sei. Er habe sich umgedreht, um zu schauen, was eigentlich los sei. Er habe B.___ gefragt, was das solle. Dieser sei betrunken gewesen und habe irgendetwas Unverständliches gesagt. In der Folge sei B.___ wieder auf ihn losgegangen und habe auf ihn eingeschlagen. Er habe den Mann weggeschubst, worauf dieser zu Boden gefallen sei. Geschlagen habe er ihn jedoch nicht. Anlässlich der Schlussverhandlung vor dem Strafgericht bestätigte B.___ nochmals, den Beschwerdeführer geschubst, jedoch nicht geschlagen zu haben. Die Aussage, wonach der Beschwerdeführer wiederum ihn weggeschubst oder mehrmals gestossen habe, ist im Protokoll nicht vermerkt. In der Folge verliess der Beschwerdeführer laut überein­stimmender Schilderung beider Beteiligten als erster die Herrentoilette und hielt darauf die Verbindungstür zwischen Foyer und Bar zu, um B.___ den Zugang zur Bar zu verunmöglichen. Letzterer riss an der Tür, während dem der Beschwerdeführer angeblich nach E.___ rief. Der Beschwerdeführer liess irgendwann die Tür los und setzte sich wieder auf denselben Platz in der Bar, auf dem er zuvor gesessen hatte. B.___ folgte dem Beschwerdeführer über zwei bis drei Treppenstufen in den oberen Barbereich. Laut eigenen Angaben war er voller Rage. Er habe den Beschwerdeführer beschimpft und ihn aufgefordert, er solle herkommen. Dieser sei zunächst von den Damen in der Bar zurückgehalten worden, habe sich dann aber losgerissen und sei rasch und entschlossen auf ihn zugekommen. Daraufhin sei es zu weiteren körperlichen Attacken zwischen ihnen beiden gekommen. Plötzlich müsse er einen Schlag erhalten haben und zu Boden gefallen sein. Der Beschwerdeführer sagte zum erneuten Aufeinandertreffen in der Bar aus, dass B.___ auf ihn losgegangen sei und versucht habe, ihn zu schlagen. Sein Kollege E.___ habe ihn zurückgeschoben bzw. er sei ein paar Schritte zurückgegangen. Darauf habe sich B.___ ihm erneut genähert und habe die Position eines Karatekämpfers eingenommen. Er habe diesen darauf an den Händen gefasst bzw. es sei zu einem Gerangel gekommen. B.___ sei ein paar Schritte zurückgegangen, worauf sie beide über die Treppenstufen hinuntergefallen seien. Die im Nachtclub anwesende Bardame F.___ bestätigte vor der Polizei, dass der Beschwerdeführer zunächst von seinem Kollegen zurückgehalten worden sei, sich dann aber habe befreien können und auf B.___ losgestürmt sei, worauf es im oberen Barbereich zu einer Schlägerei gekommen sei. E.___ sprach gegenüber der Polizei ebenfalls von Karatebewegungen, die B.___ gemacht haben soll. Er habe dem Beschwerdeführer gesagt, er solle B.___ ignorieren, worauf dieser ihn und den Beschwerdeführer beschimpft habe. Der Beschwerdeführer sei zu B.___ gegangen, um mit ihm zu sprechen, worauf er von diesem gestossen worden sei. Der Beschwerdeführer habe B.___ festgehalten und beide seien auf den Boden gefallen. Bei der Befragung vor dem Strafgericht sagte E.___ aus, der Beschwerdeführer und B.___ seien auf einmal aufeinander zugegangen. Sie hätten sich nicht geschlagen, sondern lediglich festgehalten. Durch dieses Gerangel seien beide auf den Boden gefallen. 2.2    Die Schilderungen von B.___ und dem Beschwerdeführer stimmen insofern überein, dass es am 23. November 2007 in der Herrentoilette zumindest zu einem Wortwechsel und zu Rempeleien gekommen war. Damit war jedenfalls eine Gefahrenlage gesetzt, die - für die Beteiligten erkennbar - aus dem Ruder laufen konnte. Der Beschwerdeführer nutzte auch laut eigener Schilderung die Möglichkeit nicht, einer weiteren Auseinandersetzung nach der Rückkehr in die Bar auszuweichen, obwohl für ihn erkennbar gewesen sein musste, dass es zu einer weiteren Konfrontation mit B.___ kommen könnte (vgl. act G 16.1/Befragung anlässlich der Schlussverhandlung vom 26. November 2008 vor dem Strafgericht, S. 9ff. des Protokolls, besonders S. 11). Die Streitigkeit schlug denn auch in eine handfeste Schlägerei um, als beide Kontrahenten in die Bar zurückgekehrt waren. Ob es bereits vor der Auseinandersetzung in der Herrentoilette auch zu Provokationen seitens des Beschwerdeführers gekommen war, ist aufgrund der vorliegenden Unterlagen nicht restlos geklärt, ist jedoch nicht wesentlich für die Beurteilung des Kürzungstatbestands. Unbestritten ist, dass der Beschwerdeführer unversehrt in den Nachtclub "A.___" gekommen war und sich wahrscheinlich nach den Rempeleien in der Herrentoilette im Lauf der Auseinandersetzung rechtsseitig am Unterarm und am Mittelfinger verletzte. (Wäre die erhebliche Verletzung am Mittelfinger, bei der das Endglied beinahe abgetrennt worden war, bereits in der Herrentoilette entstanden, hätte er sie kaum erst im Verlauf der späteren Rauferei in der Bar bemerkt und als Verletzter die erforderliche Kraft aufwenden können um die Verbindungstüre zuzuhalten. Die Abschürfung am Unterarm hatte er sich nach eigenen, unbestritten gebliebenen Angaben beim Zuhalten der Verbindungstür zugezogen [UV-act. 9/13].) In welchem genauen Zeitpunkt der Streiterei sich der Beschwerdeführer (am Mittelfinger) verletzte, ob beim Zuhalten der Verbindungstüre oder später bei der körperlichen Auseinandersetzung mit B.___, ist ebenfalls nicht massgebend, da nach der allgemeinen Lebenserfahrung und dem gewöhnlichen Lauf der Dinge allen Geschehensabschnitten das Potential innewohnte, die fraglichen Verletzungen zu bewirken. Unerheblich ist auch, ob die Verletzung beim Zerschlagen des Aschenbechers (der im Lauf der Auseinandersetzung zu Bruch gegangen war), beim Sturz in herumliegende Scherben oder durch einen Biss von B.___ gesetzt wurde. Erforderlich ist einzig, dass sich der Beschwerdeführer verletzte, während er der besonderen Gefahrensitua­tion der Schlägerei oder Rauferei ausgesetzt war. Es bestehen auch keine Indizien für ein isoliertes Unfallgeschehen, dass sich unabhängig von der Rauferei zugetragen und den Beschwerdeführer verletzt hätte (wie beispielsweise das Herunterfallen einer Lampe oder eines Deckenelements) und daher keine Leistungskürzung gerechtfertigt hätte. 2.3    Damit ist von der aussergewöhnlichen Gefahr der Rauferei oder Schlägerei im Sinn von Art. 49 Abs. 2 lit. a UVV als Voraussetzung für eine allfällige Kürzung von Versicherungs­leistungen auszugehen. Da sich der Beschwerdeführer verletzte, als er dieser besonderen Gefahrensituation ausgesetzt war, wie vorstehend (Erwägung 2.2) dargelegt, ist auch das zusätzliche Erfordernis des Kausalzusammenhangs erfüllt. Die Beschwerdegegnerin hat daher die Versicherungsleistungen an den Beschwerdeführer aufgrund des Unfalls vom 23. Novem­ber 2007 zu Recht gekürzt. 2.4    Die Beschwerdegegnerin hat mit Verfügung vom 21. Januar 2008, bestätigt im Einsprache­entscheid vom 24. April 2009, nur die Geldleistungen (Taggelder sowie allfällige Renten, Integritäts- und Hilflosenentschädigungen) um das gesetzliche Minimum von 50% gekürzt (Art. 39 UVG in Verbindung mit Art. 49 Abs. 2 lit. a UVV; die Naturalleistungen in Form der Heilungskosten nahm sie von der Kürzung aus). Diese Kürzung ist auch bezüglich Ausmass nicht zu beanstanden.</w:t>
      </w:r>
    </w:p>
    <w:p>
      <w:r>
        <w:rPr>
          <w:b/>
        </w:rPr>
        <w:t>E. 3</w:t>
      </w:r>
    </w:p>
    <w:p>
      <w:r>
        <w:t>Im Sinn der vorstehenden Erwägungen ist die Beschwerde somit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